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66" w:rsidRDefault="001D1866">
      <w:pPr>
        <w:rPr>
          <w:rFonts w:asciiTheme="majorHAnsi" w:hAnsiTheme="majorHAnsi"/>
          <w:sz w:val="36"/>
          <w:szCs w:val="36"/>
          <w:lang w:val="en-CA"/>
        </w:rPr>
      </w:pPr>
      <w:r>
        <w:rPr>
          <w:rFonts w:asciiTheme="majorHAnsi" w:hAnsiTheme="majorHAnsi"/>
          <w:sz w:val="36"/>
          <w:szCs w:val="36"/>
          <w:lang w:val="en-CA"/>
        </w:rPr>
        <w:t>Scientific Thinking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1266"/>
        <w:gridCol w:w="1183"/>
        <w:gridCol w:w="1155"/>
        <w:gridCol w:w="1183"/>
        <w:gridCol w:w="1142"/>
      </w:tblGrid>
      <w:tr w:rsidR="000878BB" w:rsidTr="005323F9">
        <w:tc>
          <w:tcPr>
            <w:tcW w:w="4565" w:type="dxa"/>
            <w:tcBorders>
              <w:top w:val="nil"/>
              <w:left w:val="nil"/>
            </w:tcBorders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0878BB" w:rsidRPr="000878BB" w:rsidRDefault="000878BB" w:rsidP="00A429E0">
            <w:pPr>
              <w:jc w:val="center"/>
              <w:rPr>
                <w:rFonts w:asciiTheme="majorHAnsi" w:hAnsiTheme="majorHAnsi"/>
                <w:sz w:val="18"/>
                <w:szCs w:val="18"/>
                <w:lang w:val="en-CA"/>
              </w:rPr>
            </w:pPr>
            <w:r w:rsidRPr="000878BB">
              <w:rPr>
                <w:rFonts w:asciiTheme="majorHAnsi" w:hAnsiTheme="majorHAnsi"/>
                <w:sz w:val="18"/>
                <w:szCs w:val="18"/>
                <w:lang w:val="en-CA"/>
              </w:rPr>
              <w:t xml:space="preserve">I have a </w:t>
            </w:r>
            <w:bookmarkStart w:id="0" w:name="_GoBack"/>
            <w:bookmarkEnd w:id="0"/>
            <w:r w:rsidRPr="000878BB">
              <w:rPr>
                <w:rFonts w:asciiTheme="majorHAnsi" w:hAnsiTheme="majorHAnsi"/>
                <w:sz w:val="18"/>
                <w:szCs w:val="18"/>
                <w:lang w:val="en-CA"/>
              </w:rPr>
              <w:t>deep understanding</w:t>
            </w:r>
          </w:p>
        </w:tc>
        <w:tc>
          <w:tcPr>
            <w:tcW w:w="1183" w:type="dxa"/>
            <w:vAlign w:val="center"/>
          </w:tcPr>
          <w:p w:rsidR="000878BB" w:rsidRPr="000878BB" w:rsidRDefault="000878BB" w:rsidP="000878BB">
            <w:pPr>
              <w:jc w:val="center"/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I understand</w:t>
            </w:r>
          </w:p>
        </w:tc>
        <w:tc>
          <w:tcPr>
            <w:tcW w:w="1155" w:type="dxa"/>
            <w:vAlign w:val="center"/>
          </w:tcPr>
          <w:p w:rsidR="000878BB" w:rsidRPr="000878BB" w:rsidRDefault="000878BB" w:rsidP="000878BB">
            <w:pPr>
              <w:jc w:val="center"/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I pretty-much get it</w:t>
            </w:r>
          </w:p>
        </w:tc>
        <w:tc>
          <w:tcPr>
            <w:tcW w:w="1183" w:type="dxa"/>
            <w:vAlign w:val="center"/>
          </w:tcPr>
          <w:p w:rsidR="000878BB" w:rsidRPr="000878BB" w:rsidRDefault="000878BB" w:rsidP="000878BB">
            <w:pPr>
              <w:jc w:val="center"/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I’m not sure I understand</w:t>
            </w:r>
          </w:p>
        </w:tc>
        <w:tc>
          <w:tcPr>
            <w:tcW w:w="1142" w:type="dxa"/>
            <w:vAlign w:val="center"/>
          </w:tcPr>
          <w:p w:rsidR="000878BB" w:rsidRPr="000878BB" w:rsidRDefault="000878BB" w:rsidP="000878BB">
            <w:pPr>
              <w:jc w:val="center"/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I have no idea</w:t>
            </w: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  <w:r>
              <w:rPr>
                <w:rFonts w:asciiTheme="majorHAnsi" w:hAnsiTheme="majorHAnsi"/>
                <w:sz w:val="36"/>
                <w:szCs w:val="36"/>
                <w:lang w:val="en-CA"/>
              </w:rPr>
              <w:t>IDEA</w:t>
            </w: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Pr="001D1866" w:rsidRDefault="000878BB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The scientific method</w:t>
            </w: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5323F9" w:rsidTr="000878BB">
        <w:tc>
          <w:tcPr>
            <w:tcW w:w="4815" w:type="dxa"/>
            <w:vAlign w:val="center"/>
          </w:tcPr>
          <w:p w:rsidR="005323F9" w:rsidRPr="001D1866" w:rsidRDefault="005323F9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Evidence based Reasoning</w:t>
            </w:r>
          </w:p>
        </w:tc>
        <w:tc>
          <w:tcPr>
            <w:tcW w:w="1195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5323F9" w:rsidTr="000878BB">
        <w:tc>
          <w:tcPr>
            <w:tcW w:w="4815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“Fairness” in experiments</w:t>
            </w:r>
          </w:p>
        </w:tc>
        <w:tc>
          <w:tcPr>
            <w:tcW w:w="1195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5323F9">
        <w:tc>
          <w:tcPr>
            <w:tcW w:w="4565" w:type="dxa"/>
            <w:vAlign w:val="center"/>
          </w:tcPr>
          <w:p w:rsidR="000878BB" w:rsidRPr="001D1866" w:rsidRDefault="000878BB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Definition: Independent variable, Dependent variable, Controlled variables</w:t>
            </w:r>
          </w:p>
        </w:tc>
        <w:tc>
          <w:tcPr>
            <w:tcW w:w="1266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5323F9">
        <w:tc>
          <w:tcPr>
            <w:tcW w:w="4565" w:type="dxa"/>
            <w:vAlign w:val="center"/>
          </w:tcPr>
          <w:p w:rsidR="000878BB" w:rsidRPr="001D1866" w:rsidRDefault="000878BB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Identifying IV, DV and CVs from the description of an experiment</w:t>
            </w:r>
          </w:p>
        </w:tc>
        <w:tc>
          <w:tcPr>
            <w:tcW w:w="1266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1D1866" w:rsidTr="005323F9">
        <w:tc>
          <w:tcPr>
            <w:tcW w:w="4565" w:type="dxa"/>
            <w:vAlign w:val="center"/>
          </w:tcPr>
          <w:p w:rsidR="001D1866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Identify flaws in a described experimental design</w:t>
            </w:r>
          </w:p>
        </w:tc>
        <w:tc>
          <w:tcPr>
            <w:tcW w:w="1266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5323F9">
        <w:tc>
          <w:tcPr>
            <w:tcW w:w="4565" w:type="dxa"/>
            <w:vAlign w:val="center"/>
          </w:tcPr>
          <w:p w:rsidR="000878BB" w:rsidRPr="001D1866" w:rsidRDefault="000878BB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Define: Observation</w:t>
            </w:r>
          </w:p>
        </w:tc>
        <w:tc>
          <w:tcPr>
            <w:tcW w:w="1266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5323F9">
        <w:tc>
          <w:tcPr>
            <w:tcW w:w="4565" w:type="dxa"/>
            <w:vAlign w:val="center"/>
          </w:tcPr>
          <w:p w:rsidR="000878BB" w:rsidRPr="001D1866" w:rsidRDefault="000878BB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Make, record and organize observations about an object</w:t>
            </w:r>
          </w:p>
        </w:tc>
        <w:tc>
          <w:tcPr>
            <w:tcW w:w="1266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5323F9">
        <w:tc>
          <w:tcPr>
            <w:tcW w:w="4565" w:type="dxa"/>
            <w:vAlign w:val="center"/>
          </w:tcPr>
          <w:p w:rsidR="001D1866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Define: Measurement</w:t>
            </w:r>
          </w:p>
        </w:tc>
        <w:tc>
          <w:tcPr>
            <w:tcW w:w="1266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1D1866" w:rsidTr="005323F9">
        <w:tc>
          <w:tcPr>
            <w:tcW w:w="4565" w:type="dxa"/>
            <w:vAlign w:val="center"/>
          </w:tcPr>
          <w:p w:rsidR="001D1866" w:rsidRPr="001D1866" w:rsidRDefault="001D1866" w:rsidP="001D1866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Make accurate measurements</w:t>
            </w:r>
          </w:p>
        </w:tc>
        <w:tc>
          <w:tcPr>
            <w:tcW w:w="1266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5323F9">
        <w:tc>
          <w:tcPr>
            <w:tcW w:w="4565" w:type="dxa"/>
            <w:vAlign w:val="center"/>
          </w:tcPr>
          <w:p w:rsidR="000878BB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Compare and contrast measurement and observation</w:t>
            </w:r>
          </w:p>
        </w:tc>
        <w:tc>
          <w:tcPr>
            <w:tcW w:w="1266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5323F9">
        <w:tc>
          <w:tcPr>
            <w:tcW w:w="4565" w:type="dxa"/>
            <w:vAlign w:val="center"/>
          </w:tcPr>
          <w:p w:rsidR="000878BB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Qualitative observations/data</w:t>
            </w:r>
          </w:p>
        </w:tc>
        <w:tc>
          <w:tcPr>
            <w:tcW w:w="1266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5323F9">
        <w:tc>
          <w:tcPr>
            <w:tcW w:w="4565" w:type="dxa"/>
            <w:vAlign w:val="center"/>
          </w:tcPr>
          <w:p w:rsidR="000878BB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Quantitative observations/data</w:t>
            </w:r>
          </w:p>
        </w:tc>
        <w:tc>
          <w:tcPr>
            <w:tcW w:w="1266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5323F9">
        <w:tc>
          <w:tcPr>
            <w:tcW w:w="4565" w:type="dxa"/>
            <w:vAlign w:val="center"/>
          </w:tcPr>
          <w:p w:rsidR="000878BB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Identify and give examples of qualitative observations</w:t>
            </w:r>
          </w:p>
        </w:tc>
        <w:tc>
          <w:tcPr>
            <w:tcW w:w="1266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5323F9">
        <w:tc>
          <w:tcPr>
            <w:tcW w:w="4565" w:type="dxa"/>
            <w:vAlign w:val="center"/>
          </w:tcPr>
          <w:p w:rsidR="000878BB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Identify and give examples of quantitative observations</w:t>
            </w:r>
          </w:p>
        </w:tc>
        <w:tc>
          <w:tcPr>
            <w:tcW w:w="1266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5323F9" w:rsidTr="005323F9">
        <w:tc>
          <w:tcPr>
            <w:tcW w:w="4565" w:type="dxa"/>
            <w:vAlign w:val="center"/>
          </w:tcPr>
          <w:p w:rsidR="005323F9" w:rsidRPr="001D1866" w:rsidRDefault="005323F9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Define: Estimation</w:t>
            </w:r>
          </w:p>
        </w:tc>
        <w:tc>
          <w:tcPr>
            <w:tcW w:w="1266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5323F9">
        <w:tc>
          <w:tcPr>
            <w:tcW w:w="4565" w:type="dxa"/>
            <w:vAlign w:val="center"/>
          </w:tcPr>
          <w:p w:rsidR="000878BB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Making a scatterplot: Includes forming appropriate scales for axes and correctly plotting points.</w:t>
            </w:r>
          </w:p>
        </w:tc>
        <w:tc>
          <w:tcPr>
            <w:tcW w:w="1266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5323F9">
        <w:tc>
          <w:tcPr>
            <w:tcW w:w="4565" w:type="dxa"/>
            <w:vAlign w:val="center"/>
          </w:tcPr>
          <w:p w:rsidR="001D1866" w:rsidRPr="001D1866" w:rsidRDefault="001D1866" w:rsidP="001D1866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Correlations: Recognize strong, moderate and weak correlations from a scatterplot.</w:t>
            </w:r>
          </w:p>
        </w:tc>
        <w:tc>
          <w:tcPr>
            <w:tcW w:w="1266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5323F9">
        <w:tc>
          <w:tcPr>
            <w:tcW w:w="4565" w:type="dxa"/>
            <w:vAlign w:val="center"/>
          </w:tcPr>
          <w:p w:rsidR="000878BB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Correlations: Recognize positive, negative or no correlation between variables from a scatterplot.</w:t>
            </w:r>
          </w:p>
        </w:tc>
        <w:tc>
          <w:tcPr>
            <w:tcW w:w="1266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5323F9">
        <w:tc>
          <w:tcPr>
            <w:tcW w:w="4565" w:type="dxa"/>
            <w:vAlign w:val="center"/>
          </w:tcPr>
          <w:p w:rsidR="001D1866" w:rsidRPr="001D1866" w:rsidRDefault="005323F9" w:rsidP="005323F9">
            <w:pPr>
              <w:jc w:val="center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Know the difference between a natural law and a scientific theory</w:t>
            </w:r>
          </w:p>
        </w:tc>
        <w:tc>
          <w:tcPr>
            <w:tcW w:w="1266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5323F9">
        <w:tc>
          <w:tcPr>
            <w:tcW w:w="4565" w:type="dxa"/>
            <w:vAlign w:val="center"/>
          </w:tcPr>
          <w:p w:rsidR="001D1866" w:rsidRPr="001D1866" w:rsidRDefault="005323F9" w:rsidP="005323F9">
            <w:pPr>
              <w:jc w:val="center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 xml:space="preserve">Metric System: know the meanings of the prefixes: </w:t>
            </w:r>
            <w:proofErr w:type="spellStart"/>
            <w:r>
              <w:rPr>
                <w:rFonts w:asciiTheme="majorHAnsi" w:hAnsiTheme="majorHAnsi"/>
                <w:lang w:val="en-CA"/>
              </w:rPr>
              <w:t>milli</w:t>
            </w:r>
            <w:proofErr w:type="spellEnd"/>
            <w:r>
              <w:rPr>
                <w:rFonts w:asciiTheme="majorHAnsi" w:hAnsiTheme="majorHAnsi"/>
                <w:lang w:val="en-CA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en-CA"/>
              </w:rPr>
              <w:t>centi</w:t>
            </w:r>
            <w:proofErr w:type="spellEnd"/>
            <w:r>
              <w:rPr>
                <w:rFonts w:asciiTheme="majorHAnsi" w:hAnsiTheme="majorHAnsi"/>
                <w:lang w:val="en-CA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en-CA"/>
              </w:rPr>
              <w:t>deci</w:t>
            </w:r>
            <w:proofErr w:type="spellEnd"/>
            <w:r>
              <w:rPr>
                <w:rFonts w:asciiTheme="majorHAnsi" w:hAnsiTheme="majorHAnsi"/>
                <w:lang w:val="en-CA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en-CA"/>
              </w:rPr>
              <w:t>deka</w:t>
            </w:r>
            <w:proofErr w:type="spellEnd"/>
            <w:r>
              <w:rPr>
                <w:rFonts w:asciiTheme="majorHAnsi" w:hAnsiTheme="majorHAnsi"/>
                <w:lang w:val="en-CA"/>
              </w:rPr>
              <w:t>, hector, kilo</w:t>
            </w:r>
          </w:p>
        </w:tc>
        <w:tc>
          <w:tcPr>
            <w:tcW w:w="1266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5323F9">
        <w:tc>
          <w:tcPr>
            <w:tcW w:w="4565" w:type="dxa"/>
            <w:vAlign w:val="center"/>
          </w:tcPr>
          <w:p w:rsidR="001D1866" w:rsidRPr="001D1866" w:rsidRDefault="005323F9" w:rsidP="005323F9">
            <w:pPr>
              <w:jc w:val="center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Metric System: Convert between units by moving the decimal place</w:t>
            </w:r>
          </w:p>
        </w:tc>
        <w:tc>
          <w:tcPr>
            <w:tcW w:w="1266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5323F9">
        <w:tc>
          <w:tcPr>
            <w:tcW w:w="4565" w:type="dxa"/>
            <w:vAlign w:val="center"/>
          </w:tcPr>
          <w:p w:rsidR="001D1866" w:rsidRPr="001D1866" w:rsidRDefault="005323F9" w:rsidP="005323F9">
            <w:pPr>
              <w:jc w:val="center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Metric System: Convert between units by using appropriate conversion factors.</w:t>
            </w:r>
          </w:p>
        </w:tc>
        <w:tc>
          <w:tcPr>
            <w:tcW w:w="1266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5323F9" w:rsidTr="005323F9">
        <w:tc>
          <w:tcPr>
            <w:tcW w:w="4565" w:type="dxa"/>
            <w:vAlign w:val="center"/>
          </w:tcPr>
          <w:p w:rsidR="005323F9" w:rsidRDefault="005323F9" w:rsidP="005323F9">
            <w:pPr>
              <w:jc w:val="center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Understand the difference between correlation and causation.</w:t>
            </w:r>
          </w:p>
        </w:tc>
        <w:tc>
          <w:tcPr>
            <w:tcW w:w="1266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5323F9" w:rsidRDefault="005323F9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A429E0" w:rsidTr="005323F9">
        <w:tc>
          <w:tcPr>
            <w:tcW w:w="4565" w:type="dxa"/>
            <w:vAlign w:val="center"/>
          </w:tcPr>
          <w:p w:rsidR="00A429E0" w:rsidRDefault="00A429E0" w:rsidP="005323F9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66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83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42" w:type="dxa"/>
            <w:vAlign w:val="center"/>
          </w:tcPr>
          <w:p w:rsidR="00A429E0" w:rsidRDefault="00A429E0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</w:tbl>
    <w:p w:rsidR="000878BB" w:rsidRPr="000878BB" w:rsidRDefault="000878BB">
      <w:pPr>
        <w:rPr>
          <w:rFonts w:asciiTheme="majorHAnsi" w:hAnsiTheme="majorHAnsi"/>
          <w:sz w:val="36"/>
          <w:szCs w:val="36"/>
          <w:lang w:val="en-CA"/>
        </w:rPr>
      </w:pPr>
    </w:p>
    <w:sectPr w:rsidR="000878BB" w:rsidRPr="000878BB" w:rsidSect="001D1866">
      <w:pgSz w:w="12240" w:h="15840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BB"/>
    <w:rsid w:val="000878BB"/>
    <w:rsid w:val="000F6932"/>
    <w:rsid w:val="001D1866"/>
    <w:rsid w:val="002D159D"/>
    <w:rsid w:val="005323F9"/>
    <w:rsid w:val="005C7C87"/>
    <w:rsid w:val="00A429E0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44CEE-BCF8-4BFC-A723-D1537A1F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4</cp:revision>
  <dcterms:created xsi:type="dcterms:W3CDTF">2018-08-28T22:18:00Z</dcterms:created>
  <dcterms:modified xsi:type="dcterms:W3CDTF">2018-09-05T15:30:00Z</dcterms:modified>
</cp:coreProperties>
</file>